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159"/>
        <w:gridCol w:w="1950"/>
        <w:gridCol w:w="19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江苏省中医院药学部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南京鼓楼医院药学部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南京市第一医院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NJPA11-01006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江苏九州通医药有限公司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江苏先声药业有限公司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江苏康缘阳光药业有限公司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金陵药业股份有限公司南京金陵制药厂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NJPA11-02009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南京医药股份有限公司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159"/>
        <w:gridCol w:w="1950"/>
        <w:gridCol w:w="19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南京新百药业有限公司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NJPA11-02013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南京华威医药科技集团有限公司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NJPA11-02027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中国药科大学国际医药商学院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NJPA11-03001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中国药科大学药学院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NJPA11-03002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南京中医药大学药学院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NJPA11-03003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南京中医药大学卫生经济管理学院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NJPA11-03004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江苏省食品药品监督检验研究院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NJPA11-03005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常务理事单位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南京市食品药品监督检验院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NJPA11-03006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常务理事单位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中国医学科学院皮肤病医院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NJPA11-01007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东南大学附属中大医院江北院区药剂科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NJPA11-01008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东南大学附属中大医院药学部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NJPA11-01009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江苏省中西医结合医院药学部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江苏省肿瘤医院药学部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江苏省省级机关医院药学部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NJPA11-01012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江苏省第二中医院药学部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NJPA11-01013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南京市口腔医院药学部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NJPA11-01014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南京市中心医院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南京市中西医结合医院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南京市江宁区中医医院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NJPA11-01017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159"/>
        <w:gridCol w:w="1950"/>
        <w:gridCol w:w="19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南京市江宁医院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NJPA11-01018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NJPA11-01019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南京市红十字医院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南京江北人民医院药学部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南京医科大学附属明基医院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南京医科大学附属逸夫医院药学部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南京医科大学第二附属医院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南京脑科医院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江苏省润天生化医药有限公司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南京广祺医药科技有限公司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南京中山制药有限公司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南京安远医药投资集团有限公司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南京南大药业有限责任公司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南京绿叶制药有限公司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NJPA11-02019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中国药科大学国家药物政策与医药产业经济研究中心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NJPA11-03011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南京医科大学药学院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NJPA11-03007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中国药科大学工学院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NJPA11-03008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中国药科大学中药学院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NJPA11-03009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849"/>
        <w:gridCol w:w="1960"/>
        <w:gridCol w:w="243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中国药科大学生命科学与技术学院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江苏省人民医院浦口分院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南京市六合区人民医院 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NJPA11-01029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南京市六合区中医院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2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南京市秦淮区中医医院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NJPA11-01031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南京市高淳人民医院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南京市高淳中医院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NJPA11-01034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南京市浦口区中医院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南京市职业病防治院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南京市溧水区人民医院药剂科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南京市溧水区中医院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NJPA11-01038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南京扬子医院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NJPA11-01039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南京同仁医院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南京医科大学第四附属医院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梅山医院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南京雨花医院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南京市秦淮区大光路社区卫生服务中心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NJPA11-01044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159"/>
        <w:gridCol w:w="1950"/>
        <w:gridCol w:w="19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南京市建邺区滨湖社区卫生服务中心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南京市秦淮区蓝旗社区卫生服务中心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南京市栖霞区妇幼保健院药剂科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南京市建宁路社区卫生服务中心药剂科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南京胸科医院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NJPA11-01049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南京天朗制药有限公司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特丰制药有限公司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江苏柯菲平医药股份有限公司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南京鹤龄药事服务有限公司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NJPA11-02029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华润南京医药有限公司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南京星银药业集团有限公司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南京海源中药饮片有限公司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南京海鲸药业有限公司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南京泽恒医药技术开发有限公司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南京药学会</w:t>
      </w:r>
      <w:r>
        <w:rPr>
          <w:rFonts w:hint="default"/>
          <w:b/>
          <w:bCs/>
          <w:color w:val="auto"/>
          <w:sz w:val="44"/>
          <w:szCs w:val="44"/>
          <w:lang w:val="en-US" w:eastAsia="zh-CN"/>
        </w:rPr>
        <w:t>单位会员证号</w:t>
      </w:r>
    </w:p>
    <w:tbl>
      <w:tblPr>
        <w:tblStyle w:val="3"/>
        <w:tblpPr w:leftFromText="180" w:rightFromText="180" w:vertAnchor="text" w:horzAnchor="page" w:tblpX="1347" w:tblpY="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159"/>
        <w:gridCol w:w="1950"/>
        <w:gridCol w:w="19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单位会员证号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南京易亨药业有限公司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前沿生物药业（南京）股份有限公司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先声再康江苏药业有限公司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南京老山药业股份有限公司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南京瑞尔医药有限公司新品部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NJPA11-02039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南京恒生制药有限公司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NJPA11-02040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中国药科大学制药有限公司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NJPA11-02041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南京医药国药有限公司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NJPA11-02042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南京中科药业有限公司办公室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NJPA11-02043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南京市江宁区卫生健康委员会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NJPA11-03007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中国药科大学继续教育学院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南京工业大学研究生院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NJPA11-03013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南京江宁（大学城）科教创新园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NJPA11-03014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会员单位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B6B815-EBE3-40A3-8325-CBB655AA73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3FE01C1-6824-4FB9-ADDC-D48A572C42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FC4966-916C-4330-ADCA-E88A8C4E0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FmYjM5NTUwMmM4M2RlNDc1YzAxNDUwZmExZDkifQ=="/>
  </w:docVars>
  <w:rsids>
    <w:rsidRoot w:val="2B0D7EF6"/>
    <w:rsid w:val="2B0D7EF6"/>
    <w:rsid w:val="38B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2058</Words>
  <Characters>3398</Characters>
  <Lines>0</Lines>
  <Paragraphs>0</Paragraphs>
  <TotalTime>7</TotalTime>
  <ScaleCrop>false</ScaleCrop>
  <LinksUpToDate>false</LinksUpToDate>
  <CharactersWithSpaces>3399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2024-06-14T05:23:00Z</dcterms:created>
  <dc:creator>老黄牛(金宝)</dc:creator>
  <cp:lastModifiedBy>Administrator</cp:lastModifiedBy>
  <dcterms:modified xsi:type="dcterms:W3CDTF">2024-07-29T01:54:23Z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826C8E6BD55E4FA9B861E1B76FB649DB_11</vt:lpwstr>
  </property>
</Properties>
</file>